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0"/>
      <w:r w:rsidDel="00000000" w:rsidR="00000000" w:rsidRPr="00000000">
        <w:rPr>
          <w:rFonts w:ascii="Arial" w:cs="Arial" w:eastAsia="Arial" w:hAnsi="Arial"/>
          <w:b w:val="1"/>
          <w:i w:val="0"/>
          <w:smallCaps w:val="0"/>
          <w:strike w:val="0"/>
          <w:color w:val="000000"/>
          <w:sz w:val="36"/>
          <w:szCs w:val="36"/>
          <w:u w:val="none"/>
          <w:vertAlign w:val="baseline"/>
          <w:rtl w:val="0"/>
        </w:rPr>
        <w:t xml:space="preserve">MYP Unit Planner (Next Chapter)</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5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5520"/>
        <w:gridCol w:w="1740"/>
        <w:gridCol w:w="5865"/>
        <w:tblGridChange w:id="0">
          <w:tblGrid>
            <w:gridCol w:w="1980"/>
            <w:gridCol w:w="5520"/>
            <w:gridCol w:w="1740"/>
            <w:gridCol w:w="5865"/>
          </w:tblGrid>
        </w:tblGridChange>
      </w:tblGrid>
      <w:tr>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Unit title</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Teacher(s)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Subject group(s) &amp; discipline(s)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MYP Year &amp; Duration (hrs)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b w:val="1"/>
          <w:sz w:val="28"/>
          <w:szCs w:val="28"/>
          <w:rtl w:val="0"/>
        </w:rPr>
        <w:t xml:space="preserve">Inquiry: Establishing the purpose of the unit</w:t>
      </w:r>
      <w:r w:rsidDel="00000000" w:rsidR="00000000" w:rsidRPr="00000000">
        <w:rPr>
          <w:rtl w:val="0"/>
        </w:rPr>
      </w:r>
    </w:p>
    <w:tbl>
      <w:tblPr>
        <w:tblStyle w:val="Table2"/>
        <w:bidi w:val="0"/>
        <w:tblW w:w="15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5325"/>
        <w:gridCol w:w="4065"/>
        <w:tblGridChange w:id="0">
          <w:tblGrid>
            <w:gridCol w:w="5715"/>
            <w:gridCol w:w="5325"/>
            <w:gridCol w:w="4065"/>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Key Concept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Related Concept(s)</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Global Context</w:t>
            </w:r>
            <w:r w:rsidDel="00000000" w:rsidR="00000000" w:rsidRPr="00000000">
              <w:rPr>
                <w:rtl w:val="0"/>
              </w:rPr>
            </w:r>
          </w:p>
        </w:tc>
      </w:tr>
      <w:tr>
        <w:trPr>
          <w:trHeight w:val="7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2"/>
            <w:shd w:fill="ccccc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Conceptual Understandings</w:t>
            </w: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74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15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05"/>
        <w:tblGridChange w:id="0">
          <w:tblGrid>
            <w:gridCol w:w="15105"/>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Statement of Inquiry</w:t>
            </w:r>
            <w:r w:rsidDel="00000000" w:rsidR="00000000" w:rsidRPr="00000000">
              <w:rPr>
                <w:rtl w:val="0"/>
              </w:rPr>
            </w:r>
          </w:p>
        </w:tc>
      </w:tr>
      <w:tr>
        <w:trPr>
          <w:trHeight w:val="7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tbl>
      <w:tblPr>
        <w:tblStyle w:val="Table4"/>
        <w:bidi w:val="0"/>
        <w:tblW w:w="15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05"/>
        <w:tblGridChange w:id="0">
          <w:tblGrid>
            <w:gridCol w:w="15105"/>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Inquiry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What teacher questions will drive these inquiries?</w:t>
            </w:r>
          </w:p>
        </w:tc>
      </w:tr>
      <w:tr>
        <w:trPr>
          <w:trHeight w:val="6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Factual</w:t>
            </w: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Conceptual</w:t>
            </w: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Debatable</w:t>
            </w: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 w:val="0"/>
        <w:tblW w:w="15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360"/>
        <w:gridCol w:w="4785"/>
        <w:gridCol w:w="4680"/>
        <w:tblGridChange w:id="0">
          <w:tblGrid>
            <w:gridCol w:w="5265"/>
            <w:gridCol w:w="360"/>
            <w:gridCol w:w="4785"/>
            <w:gridCol w:w="468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Objectives</w:t>
            </w:r>
            <w:r w:rsidDel="00000000" w:rsidR="00000000" w:rsidRPr="00000000">
              <w:rPr>
                <w:rtl w:val="0"/>
              </w:rPr>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Summative Assessment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What specific MYP objectives will be addressed during this unit?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Outline of summative assessment tasks(s) including assessment criteria:</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Relationship between summative assessment task(s) and statement of inquiry:</w:t>
            </w: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tbl>
      <w:tblPr>
        <w:tblStyle w:val="Table6"/>
        <w:bidi w:val="0"/>
        <w:tblW w:w="15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05"/>
        <w:tblGridChange w:id="0">
          <w:tblGrid>
            <w:gridCol w:w="15105"/>
          </w:tblGrid>
        </w:tblGridChange>
      </w:tblGrid>
      <w:tr>
        <w:tc>
          <w:tcPr>
            <w:shd w:fill="ccccc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Approaches to Learning (ATL)</w:t>
            </w:r>
          </w:p>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How will this unit contribute to the overall development of subject-specific and general approaches to learning skills?</w:t>
            </w:r>
            <w:r w:rsidDel="00000000" w:rsidR="00000000" w:rsidRPr="00000000">
              <w:rPr>
                <w:rtl w:val="0"/>
              </w:rPr>
            </w:r>
          </w:p>
        </w:tc>
      </w:tr>
      <w:tr>
        <w:trPr>
          <w:trHeight w:val="104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b w:val="1"/>
          <w:sz w:val="28"/>
          <w:szCs w:val="28"/>
          <w:rtl w:val="0"/>
        </w:rPr>
        <w:t xml:space="preserve">Action: Teaching and learning through inquiry</w:t>
      </w:r>
      <w:r w:rsidDel="00000000" w:rsidR="00000000" w:rsidRPr="00000000">
        <w:rPr>
          <w:rtl w:val="0"/>
        </w:rPr>
      </w:r>
    </w:p>
    <w:tbl>
      <w:tblPr>
        <w:tblStyle w:val="Table7"/>
        <w:bidi w:val="0"/>
        <w:tblW w:w="15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10695"/>
        <w:tblGridChange w:id="0">
          <w:tblGrid>
            <w:gridCol w:w="4395"/>
            <w:gridCol w:w="10695"/>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Content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Process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experiences and teaching strategies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Formative assessment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Differentiation</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8"/>
        <w:bidi w:val="0"/>
        <w:tblW w:w="15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10"/>
        <w:tblGridChange w:id="0">
          <w:tblGrid>
            <w:gridCol w:w="1511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Resources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b w:val="1"/>
          <w:sz w:val="28"/>
          <w:szCs w:val="28"/>
          <w:rtl w:val="0"/>
        </w:rPr>
        <w:t xml:space="preserve">Reflection: Considering the planning, process and impact of the inquiry</w:t>
      </w:r>
      <w:r w:rsidDel="00000000" w:rsidR="00000000" w:rsidRPr="00000000">
        <w:rPr>
          <w:rtl w:val="0"/>
        </w:rPr>
      </w:r>
    </w:p>
    <w:tbl>
      <w:tblPr>
        <w:tblStyle w:val="Table9"/>
        <w:bidi w:val="0"/>
        <w:tblW w:w="15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6.666666666667"/>
        <w:gridCol w:w="5036.666666666667"/>
        <w:gridCol w:w="5036.666666666667"/>
        <w:tblGridChange w:id="0">
          <w:tblGrid>
            <w:gridCol w:w="5036.666666666667"/>
            <w:gridCol w:w="5036.666666666667"/>
            <w:gridCol w:w="5036.666666666667"/>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Prior to teaching the unit: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During teaching:</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After teaching the unit: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pgSz w:h="11906" w:w="16838"/>
      <w:pgMar w:bottom="863.9999999999999" w:top="863.9999999999999" w:left="863.9999999999999" w:right="863.999999999999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p w:rsidR="00000000" w:rsidDel="00000000" w:rsidP="00000000" w:rsidRDefault="00000000" w:rsidRPr="00000000">
      <w:pPr>
        <w:contextualSpacing w:val="0"/>
      </w:pPr>
      <w:r w:rsidDel="00000000" w:rsidR="00000000" w:rsidRPr="00000000">
        <w:rPr>
          <w:rtl w:val="0"/>
        </w:rPr>
        <w:t xml:space="preserve"> This planner is based on the most recent pre-publication planner by the IB for the Middle Years Programme Next Chapter. The template looks slightly different from the original since Google has (still) yet to add cell merging to Google Drive. However, the content is still the same! I left a few of the guiding questions in from the original planner since I found them helpful.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do not need my permission to use this document. All you need to do is go to the document menu and click “File &gt; make a copy” and a copy will be saved in your drive for editing.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 ideas for how to improve this planner, send me an email. - Mary | maryworrell.com | @pickledtreats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